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sz w:val="32"/>
          <w:szCs w:val="29"/>
        </w:rPr>
      </w:pPr>
      <w:r>
        <w:rPr>
          <w:rFonts w:hint="eastAsia" w:ascii="黑体" w:hAnsi="黑体" w:eastAsia="黑体"/>
          <w:sz w:val="32"/>
          <w:szCs w:val="29"/>
        </w:rPr>
        <w:t>附件3</w:t>
      </w:r>
    </w:p>
    <w:p>
      <w:pPr>
        <w:spacing w:line="560" w:lineRule="exact"/>
        <w:jc w:val="center"/>
        <w:rPr>
          <w:rFonts w:ascii="方正小标宋_GBK" w:eastAsia="方正小标宋_GBK"/>
          <w:sz w:val="40"/>
          <w:szCs w:val="40"/>
        </w:rPr>
      </w:pPr>
    </w:p>
    <w:p>
      <w:pPr>
        <w:spacing w:line="560" w:lineRule="exact"/>
        <w:jc w:val="center"/>
        <w:rPr>
          <w:rFonts w:hint="eastAsia" w:ascii="方正小标宋_GBK" w:eastAsia="方正小标宋_GBK"/>
          <w:sz w:val="40"/>
          <w:szCs w:val="40"/>
        </w:rPr>
      </w:pPr>
      <w:r>
        <w:rPr>
          <w:rFonts w:hint="eastAsia" w:ascii="方正小标宋_GBK" w:eastAsia="方正小标宋_GBK"/>
          <w:sz w:val="40"/>
          <w:szCs w:val="40"/>
          <w:lang w:eastAsia="zh-CN"/>
        </w:rPr>
        <w:t>州特教高中</w:t>
      </w:r>
      <w:r>
        <w:rPr>
          <w:rFonts w:hint="eastAsia" w:ascii="方正小标宋_GBK" w:eastAsia="方正小标宋_GBK"/>
          <w:sz w:val="40"/>
          <w:szCs w:val="40"/>
        </w:rPr>
        <w:t>2020年在校生生活费州级补助项目</w:t>
      </w:r>
    </w:p>
    <w:p>
      <w:pPr>
        <w:spacing w:line="560" w:lineRule="exact"/>
        <w:jc w:val="center"/>
        <w:rPr>
          <w:rFonts w:ascii="仿宋_GB2312" w:eastAsia="仿宋_GB2312"/>
          <w:sz w:val="29"/>
          <w:szCs w:val="29"/>
        </w:rPr>
      </w:pPr>
      <w:r>
        <w:rPr>
          <w:rFonts w:hint="eastAsia" w:ascii="方正小标宋_GBK" w:eastAsia="方正小标宋_GBK"/>
          <w:sz w:val="40"/>
          <w:szCs w:val="40"/>
        </w:rPr>
        <w:t>支出绩效评价报告</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 xml:space="preserve">                     </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根据《关于开展2021年预算绩效自评工作的通知》（州财绩〔2021〕3号文件精神，遵循“科学性、规范性、客观性和公共性”的原则，以开展业务情况、预算资金管理为主线，评价主要围绕部门职责、管理效率、履职效能、社会效应和服务对象满意度等方面进行综合评价。现将2020年绩效自评情况报告如下：</w:t>
      </w:r>
    </w:p>
    <w:p>
      <w:pPr>
        <w:pStyle w:val="7"/>
        <w:numPr>
          <w:ilvl w:val="0"/>
          <w:numId w:val="1"/>
        </w:numPr>
        <w:spacing w:line="560" w:lineRule="exact"/>
        <w:ind w:firstLineChars="0"/>
        <w:rPr>
          <w:rFonts w:ascii="黑体" w:hAnsi="黑体" w:eastAsia="黑体"/>
          <w:b/>
          <w:bCs/>
          <w:sz w:val="32"/>
          <w:szCs w:val="32"/>
        </w:rPr>
      </w:pPr>
      <w:r>
        <w:rPr>
          <w:rFonts w:hint="eastAsia" w:ascii="黑体" w:hAnsi="黑体" w:eastAsia="黑体"/>
          <w:b/>
          <w:bCs/>
          <w:sz w:val="32"/>
          <w:szCs w:val="32"/>
        </w:rPr>
        <w:t>项目基本情况</w:t>
      </w:r>
    </w:p>
    <w:p>
      <w:pPr>
        <w:pStyle w:val="7"/>
        <w:spacing w:line="560" w:lineRule="exact"/>
        <w:ind w:left="520" w:firstLine="0" w:firstLineChars="0"/>
        <w:rPr>
          <w:rFonts w:hint="eastAsia" w:ascii="仿宋" w:hAnsi="仿宋" w:eastAsia="仿宋" w:cs="仿宋"/>
          <w:sz w:val="32"/>
          <w:szCs w:val="32"/>
        </w:rPr>
      </w:pPr>
      <w:r>
        <w:rPr>
          <w:rFonts w:hint="eastAsia" w:ascii="仿宋" w:hAnsi="仿宋" w:eastAsia="仿宋" w:cs="仿宋"/>
          <w:sz w:val="32"/>
          <w:szCs w:val="32"/>
        </w:rPr>
        <w:t>（一）概况</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立项背景及目的:</w:t>
      </w:r>
      <w:r>
        <w:rPr>
          <w:rFonts w:hint="eastAsia" w:ascii="仿宋" w:hAnsi="仿宋" w:eastAsia="仿宋" w:cs="仿宋"/>
          <w:sz w:val="32"/>
          <w:szCs w:val="32"/>
          <w:lang w:eastAsia="zh-CN"/>
        </w:rPr>
        <w:t>为解决残疾学生在校期间的生活费问题，依据黔东南州人民政府办公室秘书八科</w:t>
      </w:r>
      <w:r>
        <w:rPr>
          <w:rFonts w:hint="eastAsia" w:ascii="仿宋" w:hAnsi="仿宋" w:eastAsia="仿宋" w:cs="仿宋"/>
          <w:sz w:val="32"/>
          <w:szCs w:val="32"/>
          <w:lang w:val="en-US" w:eastAsia="zh-CN"/>
        </w:rPr>
        <w:t>[2017]786号《对将特校在校生生活费列入本级财政预算的建议》，</w:t>
      </w:r>
      <w:r>
        <w:rPr>
          <w:rFonts w:hint="eastAsia" w:ascii="仿宋" w:hAnsi="仿宋" w:eastAsia="仿宋" w:cs="仿宋"/>
          <w:sz w:val="32"/>
          <w:szCs w:val="32"/>
          <w:lang w:eastAsia="zh-CN"/>
        </w:rPr>
        <w:t>该项目自</w:t>
      </w:r>
      <w:r>
        <w:rPr>
          <w:rFonts w:hint="eastAsia" w:ascii="仿宋" w:hAnsi="仿宋" w:eastAsia="仿宋" w:cs="仿宋"/>
          <w:sz w:val="32"/>
          <w:szCs w:val="32"/>
          <w:lang w:val="en-US" w:eastAsia="zh-CN"/>
        </w:rPr>
        <w:t>2018年起每年纳入州级财政预算</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sz w:val="32"/>
          <w:szCs w:val="29"/>
        </w:rPr>
        <w:t>预算资金来源及使用情况：根据《关于</w:t>
      </w:r>
      <w:r>
        <w:rPr>
          <w:rFonts w:hint="eastAsia" w:ascii="仿宋" w:hAnsi="仿宋" w:eastAsia="仿宋"/>
          <w:sz w:val="32"/>
          <w:szCs w:val="29"/>
          <w:lang w:eastAsia="zh-CN"/>
        </w:rPr>
        <w:t>批复</w:t>
      </w:r>
      <w:r>
        <w:rPr>
          <w:rFonts w:hint="eastAsia" w:ascii="仿宋" w:hAnsi="仿宋" w:eastAsia="仿宋"/>
          <w:sz w:val="32"/>
          <w:szCs w:val="29"/>
          <w:lang w:val="en-US" w:eastAsia="zh-CN"/>
        </w:rPr>
        <w:t>2020年州级部门预算及2020-2022年支出规划</w:t>
      </w:r>
      <w:r>
        <w:rPr>
          <w:rFonts w:hint="eastAsia" w:ascii="仿宋" w:hAnsi="仿宋" w:eastAsia="仿宋"/>
          <w:sz w:val="32"/>
          <w:szCs w:val="29"/>
        </w:rPr>
        <w:t>的通知》（州财</w:t>
      </w:r>
      <w:r>
        <w:rPr>
          <w:rFonts w:hint="eastAsia" w:ascii="仿宋" w:hAnsi="仿宋" w:eastAsia="仿宋"/>
          <w:sz w:val="32"/>
          <w:szCs w:val="29"/>
          <w:lang w:eastAsia="zh-CN"/>
        </w:rPr>
        <w:t>预</w:t>
      </w:r>
      <w:r>
        <w:rPr>
          <w:rFonts w:hint="eastAsia" w:ascii="仿宋" w:hAnsi="仿宋" w:eastAsia="仿宋"/>
          <w:sz w:val="32"/>
          <w:szCs w:val="29"/>
        </w:rPr>
        <w:t>〔2020〕</w:t>
      </w:r>
      <w:r>
        <w:rPr>
          <w:rFonts w:hint="eastAsia" w:ascii="仿宋" w:hAnsi="仿宋" w:eastAsia="仿宋"/>
          <w:sz w:val="32"/>
          <w:szCs w:val="29"/>
          <w:lang w:val="en-US" w:eastAsia="zh-CN"/>
        </w:rPr>
        <w:t>35</w:t>
      </w:r>
      <w:r>
        <w:rPr>
          <w:rFonts w:hint="eastAsia" w:ascii="仿宋" w:hAnsi="仿宋" w:eastAsia="仿宋"/>
          <w:sz w:val="32"/>
          <w:szCs w:val="29"/>
        </w:rPr>
        <w:t>号）文件，该项目预算资金为</w:t>
      </w:r>
      <w:r>
        <w:rPr>
          <w:rFonts w:hint="eastAsia" w:ascii="仿宋" w:hAnsi="仿宋" w:eastAsia="仿宋"/>
          <w:sz w:val="32"/>
          <w:szCs w:val="29"/>
          <w:lang w:val="en-US" w:eastAsia="zh-CN"/>
        </w:rPr>
        <w:t>15.00</w:t>
      </w:r>
      <w:r>
        <w:rPr>
          <w:rFonts w:hint="eastAsia" w:ascii="仿宋" w:hAnsi="仿宋" w:eastAsia="仿宋"/>
          <w:sz w:val="32"/>
          <w:szCs w:val="29"/>
        </w:rPr>
        <w:t>万元。2020年项目实施支出</w:t>
      </w:r>
      <w:r>
        <w:rPr>
          <w:rFonts w:hint="eastAsia" w:ascii="仿宋" w:hAnsi="仿宋" w:eastAsia="仿宋"/>
          <w:sz w:val="32"/>
          <w:szCs w:val="29"/>
          <w:lang w:val="en-US" w:eastAsia="zh-CN"/>
        </w:rPr>
        <w:t>15.00</w:t>
      </w:r>
      <w:r>
        <w:rPr>
          <w:rFonts w:hint="eastAsia" w:ascii="仿宋" w:hAnsi="仿宋" w:eastAsia="仿宋"/>
          <w:sz w:val="32"/>
          <w:szCs w:val="29"/>
        </w:rPr>
        <w:t>万元。</w:t>
      </w:r>
    </w:p>
    <w:p>
      <w:pPr>
        <w:spacing w:line="560" w:lineRule="exact"/>
        <w:rPr>
          <w:rFonts w:hint="eastAsia" w:ascii="仿宋" w:hAnsi="仿宋" w:eastAsia="仿宋" w:cs="仿宋"/>
          <w:sz w:val="32"/>
          <w:szCs w:val="32"/>
        </w:rPr>
      </w:pPr>
      <w:r>
        <w:rPr>
          <w:rFonts w:hint="eastAsia" w:ascii="仿宋" w:hAnsi="仿宋" w:eastAsia="仿宋" w:cs="仿宋"/>
          <w:sz w:val="32"/>
          <w:szCs w:val="32"/>
        </w:rPr>
        <w:t xml:space="preserve">    (二)绩效目标</w:t>
      </w:r>
    </w:p>
    <w:p>
      <w:pPr>
        <w:spacing w:line="560" w:lineRule="exact"/>
        <w:rPr>
          <w:rFonts w:hint="eastAsia" w:ascii="仿宋" w:hAnsi="仿宋" w:eastAsia="仿宋" w:cs="仿宋"/>
          <w:sz w:val="32"/>
          <w:szCs w:val="32"/>
        </w:rPr>
      </w:pPr>
      <w:r>
        <w:rPr>
          <w:rFonts w:hint="eastAsia" w:ascii="仿宋" w:hAnsi="仿宋" w:eastAsia="仿宋" w:cs="仿宋"/>
          <w:sz w:val="32"/>
          <w:szCs w:val="32"/>
        </w:rPr>
        <w:t xml:space="preserve">     绩效总目标：</w:t>
      </w:r>
      <w:r>
        <w:rPr>
          <w:rFonts w:hint="eastAsia" w:ascii="仿宋" w:hAnsi="仿宋" w:eastAsia="仿宋" w:cs="仿宋"/>
          <w:sz w:val="32"/>
          <w:szCs w:val="32"/>
          <w:lang w:eastAsia="zh-CN"/>
        </w:rPr>
        <w:t>解决</w:t>
      </w:r>
      <w:r>
        <w:rPr>
          <w:rFonts w:hint="eastAsia" w:ascii="仿宋" w:hAnsi="仿宋" w:eastAsia="仿宋" w:cs="仿宋"/>
          <w:sz w:val="32"/>
          <w:szCs w:val="32"/>
          <w:lang w:val="en-US" w:eastAsia="zh-CN"/>
        </w:rPr>
        <w:t>2020年特校在校生生活费，落实学生资助政策，控辍保学，保障残疾在校学生顺利完成学业</w:t>
      </w:r>
      <w:r>
        <w:rPr>
          <w:rFonts w:hint="eastAsia" w:ascii="仿宋" w:hAnsi="仿宋" w:eastAsia="仿宋" w:cs="仿宋"/>
          <w:sz w:val="32"/>
          <w:szCs w:val="32"/>
        </w:rPr>
        <w:t>。</w:t>
      </w:r>
    </w:p>
    <w:p>
      <w:pPr>
        <w:spacing w:line="560" w:lineRule="exact"/>
        <w:ind w:firstLine="640"/>
        <w:rPr>
          <w:rFonts w:hint="eastAsia" w:ascii="仿宋" w:hAnsi="仿宋" w:eastAsia="仿宋" w:cs="仿宋"/>
          <w:sz w:val="32"/>
          <w:szCs w:val="32"/>
        </w:rPr>
      </w:pPr>
      <w:r>
        <w:rPr>
          <w:rFonts w:hint="eastAsia" w:ascii="仿宋" w:hAnsi="仿宋" w:eastAsia="仿宋" w:cs="仿宋"/>
          <w:sz w:val="32"/>
          <w:szCs w:val="32"/>
        </w:rPr>
        <w:t>具体绩效目标：</w:t>
      </w:r>
    </w:p>
    <w:p>
      <w:pPr>
        <w:spacing w:line="560" w:lineRule="exact"/>
        <w:ind w:firstLine="640"/>
        <w:rPr>
          <w:rFonts w:hint="eastAsia" w:ascii="仿宋" w:hAnsi="仿宋" w:eastAsia="仿宋" w:cs="仿宋"/>
          <w:sz w:val="32"/>
          <w:szCs w:val="32"/>
        </w:rPr>
      </w:pPr>
      <w:r>
        <w:rPr>
          <w:rFonts w:hint="eastAsia" w:ascii="仿宋" w:hAnsi="仿宋" w:eastAsia="仿宋" w:cs="仿宋"/>
          <w:sz w:val="32"/>
          <w:szCs w:val="32"/>
          <w:lang w:eastAsia="zh-CN"/>
        </w:rPr>
        <w:t>①</w:t>
      </w:r>
      <w:r>
        <w:rPr>
          <w:rFonts w:hint="eastAsia" w:ascii="仿宋" w:hAnsi="仿宋" w:eastAsia="仿宋" w:cs="仿宋"/>
          <w:sz w:val="32"/>
          <w:szCs w:val="32"/>
        </w:rPr>
        <w:t>产</w:t>
      </w:r>
      <w:r>
        <w:rPr>
          <w:rFonts w:hint="eastAsia" w:ascii="仿宋" w:hAnsi="仿宋" w:eastAsia="仿宋" w:cs="仿宋"/>
          <w:sz w:val="32"/>
          <w:szCs w:val="32"/>
          <w:lang w:eastAsia="zh-CN"/>
        </w:rPr>
        <w:t>出</w:t>
      </w:r>
      <w:r>
        <w:rPr>
          <w:rFonts w:hint="eastAsia" w:ascii="仿宋" w:hAnsi="仿宋" w:eastAsia="仿宋" w:cs="仿宋"/>
          <w:sz w:val="32"/>
          <w:szCs w:val="32"/>
        </w:rPr>
        <w:t>指标：</w:t>
      </w:r>
      <w:r>
        <w:rPr>
          <w:rFonts w:hint="eastAsia" w:ascii="仿宋" w:hAnsi="仿宋" w:eastAsia="仿宋" w:cs="仿宋"/>
          <w:sz w:val="32"/>
          <w:szCs w:val="32"/>
          <w:lang w:eastAsia="zh-CN"/>
        </w:rPr>
        <w:t>落实学生资助政策，在校生生活费补助完成率达到</w:t>
      </w:r>
      <w:r>
        <w:rPr>
          <w:rFonts w:hint="eastAsia" w:ascii="仿宋" w:hAnsi="仿宋" w:eastAsia="仿宋" w:cs="仿宋"/>
          <w:sz w:val="32"/>
          <w:szCs w:val="32"/>
          <w:lang w:val="en-US" w:eastAsia="zh-CN"/>
        </w:rPr>
        <w:t>100%，在预算安排的经费总额内，严格执行相关财务管理制度，专款专用</w:t>
      </w:r>
      <w:r>
        <w:rPr>
          <w:rFonts w:hint="eastAsia" w:ascii="仿宋" w:hAnsi="仿宋" w:eastAsia="仿宋" w:cs="仿宋"/>
          <w:sz w:val="32"/>
          <w:szCs w:val="32"/>
        </w:rPr>
        <w:t>。</w:t>
      </w:r>
    </w:p>
    <w:p>
      <w:pPr>
        <w:spacing w:line="560" w:lineRule="exact"/>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eastAsia="zh-CN"/>
        </w:rPr>
        <w:t>②</w:t>
      </w:r>
      <w:r>
        <w:rPr>
          <w:rFonts w:hint="eastAsia" w:ascii="仿宋" w:hAnsi="仿宋" w:eastAsia="仿宋" w:cs="仿宋"/>
          <w:sz w:val="32"/>
          <w:szCs w:val="32"/>
        </w:rPr>
        <w:t>效益指标：</w:t>
      </w:r>
      <w:r>
        <w:rPr>
          <w:rFonts w:hint="eastAsia" w:ascii="仿宋" w:hAnsi="仿宋" w:eastAsia="仿宋" w:cs="仿宋"/>
          <w:sz w:val="32"/>
          <w:szCs w:val="32"/>
          <w:lang w:eastAsia="zh-CN"/>
        </w:rPr>
        <w:t>落实学生资助政策，切实完成</w:t>
      </w:r>
      <w:r>
        <w:rPr>
          <w:rFonts w:hint="eastAsia" w:ascii="仿宋" w:hAnsi="仿宋" w:eastAsia="仿宋" w:cs="仿宋"/>
          <w:sz w:val="32"/>
          <w:szCs w:val="32"/>
          <w:lang w:val="en-US" w:eastAsia="zh-CN"/>
        </w:rPr>
        <w:t>2020年度控辍保学和劝返复学工作，确保辍学率为0</w:t>
      </w:r>
      <w:r>
        <w:rPr>
          <w:rFonts w:hint="eastAsia" w:ascii="仿宋" w:hAnsi="仿宋" w:eastAsia="仿宋" w:cs="仿宋"/>
          <w:sz w:val="32"/>
          <w:szCs w:val="32"/>
        </w:rPr>
        <w:t>。</w:t>
      </w:r>
    </w:p>
    <w:p>
      <w:pPr>
        <w:spacing w:line="560" w:lineRule="exact"/>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eastAsia="zh-CN"/>
        </w:rPr>
        <w:t>③</w:t>
      </w:r>
      <w:r>
        <w:rPr>
          <w:rFonts w:hint="eastAsia" w:ascii="仿宋" w:hAnsi="仿宋" w:eastAsia="仿宋" w:cs="仿宋"/>
          <w:sz w:val="32"/>
          <w:szCs w:val="32"/>
        </w:rPr>
        <w:t>满意度指标：</w:t>
      </w:r>
      <w:r>
        <w:rPr>
          <w:rFonts w:hint="eastAsia" w:ascii="仿宋" w:hAnsi="仿宋" w:eastAsia="仿宋" w:cs="仿宋"/>
          <w:sz w:val="32"/>
          <w:szCs w:val="32"/>
          <w:lang w:eastAsia="zh-CN"/>
        </w:rPr>
        <w:t>通过该项目的实施，力争学生、家长和社会对学校的满意度达到较好水平</w:t>
      </w:r>
      <w:r>
        <w:rPr>
          <w:rFonts w:hint="eastAsia" w:ascii="仿宋" w:hAnsi="仿宋" w:eastAsia="仿宋" w:cs="仿宋"/>
          <w:sz w:val="32"/>
          <w:szCs w:val="32"/>
        </w:rPr>
        <w:t>。</w:t>
      </w:r>
    </w:p>
    <w:p>
      <w:pPr>
        <w:spacing w:line="560" w:lineRule="exact"/>
        <w:rPr>
          <w:rFonts w:ascii="黑体" w:hAnsi="黑体" w:eastAsia="黑体"/>
          <w:b/>
          <w:bCs/>
          <w:sz w:val="32"/>
          <w:szCs w:val="29"/>
        </w:rPr>
      </w:pPr>
      <w:r>
        <w:rPr>
          <w:rFonts w:hint="eastAsia" w:ascii="仿宋_GB2312" w:eastAsia="仿宋_GB2312"/>
          <w:b/>
          <w:bCs/>
          <w:sz w:val="32"/>
          <w:szCs w:val="29"/>
        </w:rPr>
        <w:t xml:space="preserve">   </w:t>
      </w:r>
      <w:r>
        <w:rPr>
          <w:rFonts w:hint="eastAsia" w:ascii="黑体" w:hAnsi="黑体" w:eastAsia="黑体"/>
          <w:b/>
          <w:bCs/>
          <w:sz w:val="32"/>
          <w:szCs w:val="29"/>
        </w:rPr>
        <w:t xml:space="preserve"> 二、绩效评价工作情况</w:t>
      </w:r>
    </w:p>
    <w:p>
      <w:pPr>
        <w:spacing w:line="560" w:lineRule="exact"/>
        <w:rPr>
          <w:rFonts w:hint="eastAsia" w:ascii="仿宋" w:hAnsi="仿宋" w:eastAsia="仿宋" w:cs="仿宋"/>
          <w:sz w:val="32"/>
          <w:szCs w:val="29"/>
        </w:rPr>
      </w:pPr>
      <w:r>
        <w:rPr>
          <w:rFonts w:hint="eastAsia" w:ascii="仿宋_GB2312" w:eastAsia="仿宋_GB2312"/>
          <w:sz w:val="32"/>
          <w:szCs w:val="29"/>
        </w:rPr>
        <w:t xml:space="preserve">    </w:t>
      </w:r>
      <w:r>
        <w:rPr>
          <w:rFonts w:hint="eastAsia" w:ascii="仿宋" w:hAnsi="仿宋" w:eastAsia="仿宋" w:cs="仿宋"/>
          <w:sz w:val="32"/>
          <w:szCs w:val="29"/>
        </w:rPr>
        <w:t>（一）绩效评价工作情况包括评价的目的、对象和范围。</w:t>
      </w:r>
    </w:p>
    <w:p>
      <w:pPr>
        <w:spacing w:line="560" w:lineRule="exact"/>
        <w:rPr>
          <w:rFonts w:hint="eastAsia" w:ascii="仿宋" w:hAnsi="仿宋" w:eastAsia="仿宋" w:cs="仿宋"/>
          <w:color w:val="4A4A4A"/>
          <w:sz w:val="32"/>
          <w:szCs w:val="32"/>
          <w:shd w:val="clear" w:color="auto" w:fill="FFFFFF"/>
        </w:rPr>
      </w:pPr>
      <w:r>
        <w:rPr>
          <w:rFonts w:hint="eastAsia" w:ascii="仿宋" w:hAnsi="仿宋" w:eastAsia="仿宋" w:cs="仿宋"/>
          <w:sz w:val="32"/>
          <w:szCs w:val="29"/>
        </w:rPr>
        <w:t xml:space="preserve">    目的：</w:t>
      </w:r>
      <w:r>
        <w:rPr>
          <w:rFonts w:hint="eastAsia" w:ascii="仿宋" w:hAnsi="仿宋" w:eastAsia="仿宋" w:cs="仿宋"/>
          <w:color w:val="4A4A4A"/>
          <w:sz w:val="32"/>
          <w:szCs w:val="32"/>
          <w:shd w:val="clear" w:color="auto" w:fill="FFFFFF"/>
        </w:rPr>
        <w:t>运用一定的量化指标及评价标准，通过单位履行职能所确定的绩效目标的实现程度，及为实现这一目标所安排预算的执行结果进行综合性评价，以此来了解资金使用是否达到预期目标、资金管理是否规范、资金使用是否有效，检验资金支出效率和效果，分析存在问题及原因，及时总结经验，改进管理措施，不断增强和落实绩效管理责任，完善工作机制，有效提高资金管理水平和使用效益，牢固树立“讲绩效、重绩效、用绩效”的绩效管理理念。</w:t>
      </w:r>
    </w:p>
    <w:p>
      <w:pPr>
        <w:spacing w:line="560" w:lineRule="exact"/>
        <w:rPr>
          <w:rFonts w:hint="eastAsia" w:ascii="仿宋" w:hAnsi="仿宋" w:eastAsia="仿宋" w:cs="仿宋"/>
          <w:sz w:val="32"/>
          <w:szCs w:val="29"/>
        </w:rPr>
      </w:pPr>
      <w:r>
        <w:rPr>
          <w:rFonts w:hint="eastAsia" w:ascii="仿宋" w:hAnsi="仿宋" w:eastAsia="仿宋" w:cs="仿宋"/>
          <w:color w:val="4A4A4A"/>
          <w:sz w:val="32"/>
          <w:szCs w:val="32"/>
          <w:shd w:val="clear" w:color="auto" w:fill="FFFFFF"/>
        </w:rPr>
        <w:t xml:space="preserve">    对象和范围：通过年初设定目标和全年实际执行数判断出黔东南州民族高级中学2020年</w:t>
      </w:r>
      <w:r>
        <w:rPr>
          <w:rFonts w:hint="eastAsia" w:ascii="仿宋" w:hAnsi="仿宋" w:eastAsia="仿宋" w:cs="仿宋"/>
          <w:color w:val="4A4A4A"/>
          <w:sz w:val="32"/>
          <w:szCs w:val="32"/>
          <w:shd w:val="clear" w:color="auto" w:fill="FFFFFF"/>
          <w:lang w:eastAsia="zh-CN"/>
        </w:rPr>
        <w:t>学生生活费州级补助</w:t>
      </w:r>
      <w:r>
        <w:rPr>
          <w:rFonts w:hint="eastAsia" w:ascii="仿宋" w:hAnsi="仿宋" w:eastAsia="仿宋" w:cs="仿宋"/>
          <w:color w:val="4A4A4A"/>
          <w:sz w:val="32"/>
          <w:szCs w:val="32"/>
          <w:shd w:val="clear" w:color="auto" w:fill="FFFFFF"/>
        </w:rPr>
        <w:t>资金使用效益。</w:t>
      </w:r>
    </w:p>
    <w:p>
      <w:pPr>
        <w:spacing w:line="560" w:lineRule="exact"/>
        <w:rPr>
          <w:rFonts w:hint="eastAsia" w:ascii="仿宋" w:hAnsi="仿宋" w:eastAsia="仿宋" w:cs="仿宋"/>
          <w:sz w:val="32"/>
          <w:szCs w:val="29"/>
        </w:rPr>
      </w:pPr>
      <w:r>
        <w:rPr>
          <w:rFonts w:hint="eastAsia" w:ascii="仿宋" w:hAnsi="仿宋" w:eastAsia="仿宋" w:cs="仿宋"/>
          <w:sz w:val="32"/>
          <w:szCs w:val="29"/>
        </w:rPr>
        <w:t xml:space="preserve">    （二）绩效评价原则、评价指标体系（附表说明）、评价方法、评价标准等。</w:t>
      </w:r>
    </w:p>
    <w:p>
      <w:pPr>
        <w:spacing w:line="560" w:lineRule="exact"/>
        <w:rPr>
          <w:rFonts w:hint="eastAsia" w:ascii="仿宋" w:hAnsi="仿宋" w:eastAsia="仿宋" w:cs="仿宋"/>
          <w:color w:val="4A4A4A"/>
          <w:sz w:val="32"/>
          <w:szCs w:val="32"/>
          <w:shd w:val="clear" w:color="auto" w:fill="FFFFFF"/>
        </w:rPr>
      </w:pPr>
      <w:r>
        <w:rPr>
          <w:rFonts w:hint="eastAsia" w:ascii="仿宋" w:hAnsi="仿宋" w:eastAsia="仿宋" w:cs="仿宋"/>
          <w:color w:val="4A4A4A"/>
          <w:sz w:val="32"/>
          <w:szCs w:val="32"/>
          <w:shd w:val="clear" w:color="auto" w:fill="FFFFFF"/>
        </w:rPr>
        <w:t>　　绩效评价原则：一是科学规范原则，坚持定量与定性分析相结合的方法。二是全面系统原则，绩效评价涵盖财政资金使用的事前、事中、事后全过程。三是公正公开原则，绩效评价应坚持真实、客观、公正的要求，依法公开并接受监督。四是绩效相关原则，评价结果应反映支出与绩效的相关性。</w:t>
      </w:r>
    </w:p>
    <w:p>
      <w:pPr>
        <w:spacing w:line="560" w:lineRule="exact"/>
        <w:rPr>
          <w:rFonts w:hint="eastAsia" w:ascii="仿宋" w:hAnsi="仿宋" w:eastAsia="仿宋" w:cs="仿宋"/>
          <w:color w:val="4A4A4A"/>
          <w:sz w:val="32"/>
          <w:szCs w:val="32"/>
          <w:shd w:val="clear" w:color="auto" w:fill="FFFFFF"/>
        </w:rPr>
      </w:pPr>
      <w:r>
        <w:rPr>
          <w:rFonts w:hint="eastAsia" w:ascii="仿宋" w:hAnsi="仿宋" w:eastAsia="仿宋" w:cs="仿宋"/>
          <w:color w:val="4A4A4A"/>
          <w:sz w:val="32"/>
          <w:szCs w:val="32"/>
          <w:shd w:val="clear" w:color="auto" w:fill="FFFFFF"/>
        </w:rPr>
        <w:t xml:space="preserve">    评价方法：各部门按照“谁使用资金、谁开展绩效自评”的原则，按照预算编制时设置的绩效目标和参考《项目支出绩效评价指标体系框架》（附件1），对项目支出实际情况开展的自评打分，并按照《项目支出绩效评价报告》（附件5）撰写评价报告。</w:t>
      </w:r>
    </w:p>
    <w:p>
      <w:pPr>
        <w:spacing w:line="560" w:lineRule="exact"/>
        <w:rPr>
          <w:rFonts w:hint="eastAsia" w:ascii="仿宋" w:hAnsi="仿宋" w:eastAsia="仿宋" w:cs="仿宋"/>
          <w:color w:val="4A4A4A"/>
          <w:sz w:val="32"/>
          <w:szCs w:val="32"/>
          <w:shd w:val="clear" w:color="auto" w:fill="FFFFFF"/>
        </w:rPr>
      </w:pPr>
      <w:r>
        <w:rPr>
          <w:rFonts w:hint="eastAsia" w:ascii="仿宋" w:hAnsi="仿宋" w:eastAsia="仿宋" w:cs="仿宋"/>
          <w:color w:val="4A4A4A"/>
          <w:sz w:val="32"/>
          <w:szCs w:val="32"/>
          <w:shd w:val="clear" w:color="auto" w:fill="FFFFFF"/>
        </w:rPr>
        <w:t xml:space="preserve">    评价标准：根据自评得分得出自评结果。自评结论得分在90分（含）以上的，自评结果为“优秀”；90-80 分（含）为“良好”；80-60分（含）为“一般”；低于60分为“较差”。  </w:t>
      </w:r>
    </w:p>
    <w:p>
      <w:pPr>
        <w:spacing w:line="560" w:lineRule="exact"/>
        <w:rPr>
          <w:rFonts w:hint="eastAsia" w:ascii="仿宋" w:hAnsi="仿宋" w:eastAsia="仿宋" w:cs="仿宋"/>
          <w:sz w:val="32"/>
          <w:szCs w:val="29"/>
        </w:rPr>
      </w:pPr>
      <w:r>
        <w:rPr>
          <w:rFonts w:hint="eastAsia" w:ascii="仿宋" w:hAnsi="仿宋" w:eastAsia="仿宋" w:cs="仿宋"/>
          <w:sz w:val="32"/>
          <w:szCs w:val="29"/>
        </w:rPr>
        <w:t xml:space="preserve">    （三）绩效评价工作过程。  </w:t>
      </w:r>
    </w:p>
    <w:p>
      <w:pPr>
        <w:spacing w:line="560" w:lineRule="exact"/>
        <w:rPr>
          <w:rFonts w:hint="eastAsia" w:ascii="仿宋" w:hAnsi="仿宋" w:eastAsia="仿宋" w:cs="仿宋"/>
          <w:sz w:val="32"/>
          <w:szCs w:val="32"/>
        </w:rPr>
      </w:pPr>
      <w:r>
        <w:rPr>
          <w:rFonts w:hint="eastAsia" w:ascii="仿宋" w:hAnsi="仿宋" w:eastAsia="仿宋" w:cs="仿宋"/>
          <w:sz w:val="32"/>
          <w:szCs w:val="29"/>
        </w:rPr>
        <w:t xml:space="preserve">    前期准备：</w:t>
      </w:r>
      <w:r>
        <w:rPr>
          <w:rFonts w:hint="eastAsia" w:ascii="仿宋" w:hAnsi="仿宋" w:eastAsia="仿宋" w:cs="仿宋"/>
          <w:sz w:val="32"/>
          <w:szCs w:val="32"/>
        </w:rPr>
        <w:t>根据学校内部职责分工，各相关部门积极配合开展绩效自评工作，学习有关绩效评价工作的文件，充分认识绩效评价工作的重要性和必要性。根据各部门职责分工，压实责任，强化措施，确保项目绩效自评工作顺利开展；组织学习相关评价依据和文件，掌握自评要点和方法。</w:t>
      </w:r>
    </w:p>
    <w:p>
      <w:pPr>
        <w:spacing w:line="560" w:lineRule="exact"/>
        <w:rPr>
          <w:rFonts w:hint="eastAsia" w:ascii="仿宋" w:hAnsi="仿宋" w:eastAsia="仿宋" w:cs="仿宋"/>
          <w:sz w:val="32"/>
          <w:szCs w:val="29"/>
        </w:rPr>
      </w:pPr>
      <w:r>
        <w:rPr>
          <w:rFonts w:hint="eastAsia" w:ascii="仿宋" w:hAnsi="仿宋" w:eastAsia="仿宋" w:cs="仿宋"/>
          <w:sz w:val="32"/>
          <w:szCs w:val="32"/>
        </w:rPr>
        <w:t xml:space="preserve">    组织实施：收集整理预算相关材料；按评价时间、要求填报州级部门项目支出绩效自评表，撰写自评报告；按要求向财政报送项目支出绩效自评表和自评报告。总结提高，按要求公开部门项目支出绩效自评情况。</w:t>
      </w:r>
      <w:r>
        <w:rPr>
          <w:rFonts w:hint="eastAsia" w:ascii="仿宋" w:hAnsi="仿宋" w:eastAsia="仿宋" w:cs="仿宋"/>
          <w:sz w:val="32"/>
          <w:szCs w:val="29"/>
        </w:rPr>
        <w:t xml:space="preserve"> </w:t>
      </w:r>
    </w:p>
    <w:p>
      <w:pPr>
        <w:spacing w:line="560" w:lineRule="exact"/>
        <w:rPr>
          <w:rFonts w:ascii="黑体" w:hAnsi="黑体" w:eastAsia="黑体"/>
          <w:b/>
          <w:bCs/>
          <w:sz w:val="32"/>
          <w:szCs w:val="29"/>
        </w:rPr>
      </w:pPr>
      <w:r>
        <w:rPr>
          <w:rFonts w:hint="eastAsia" w:ascii="仿宋_GB2312" w:eastAsia="仿宋_GB2312"/>
          <w:b/>
          <w:bCs/>
          <w:sz w:val="32"/>
          <w:szCs w:val="29"/>
        </w:rPr>
        <w:t xml:space="preserve">   </w:t>
      </w:r>
      <w:r>
        <w:rPr>
          <w:rFonts w:hint="eastAsia" w:ascii="黑体" w:hAnsi="黑体" w:eastAsia="黑体"/>
          <w:b/>
          <w:bCs/>
          <w:sz w:val="32"/>
          <w:szCs w:val="29"/>
        </w:rPr>
        <w:t xml:space="preserve"> 三、综合评价结果及评价结论（附相关评分表）</w:t>
      </w:r>
    </w:p>
    <w:p>
      <w:pPr>
        <w:spacing w:line="560" w:lineRule="exac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sz w:val="32"/>
          <w:szCs w:val="32"/>
        </w:rPr>
        <w:t xml:space="preserve">   </w:t>
      </w:r>
      <w:r>
        <w:rPr>
          <w:rFonts w:hint="eastAsia" w:ascii="仿宋" w:hAnsi="仿宋" w:eastAsia="仿宋" w:cs="仿宋"/>
          <w:sz w:val="32"/>
          <w:szCs w:val="32"/>
          <w:lang w:eastAsia="zh-CN"/>
        </w:rPr>
        <w:t>州特校在校生生活费补助资金只用于减免学生在校期间享受国家规定的资助后所需缴纳的生活费，</w:t>
      </w:r>
      <w:r>
        <w:rPr>
          <w:rFonts w:hint="eastAsia" w:ascii="仿宋" w:hAnsi="仿宋" w:eastAsia="仿宋" w:cs="仿宋"/>
          <w:color w:val="000000" w:themeColor="text1"/>
          <w:sz w:val="32"/>
          <w:szCs w:val="32"/>
          <w14:textFill>
            <w14:solidFill>
              <w14:schemeClr w14:val="tx1"/>
            </w14:solidFill>
          </w14:textFill>
        </w:rPr>
        <w:t>全年执行率为100%。项目的实施</w:t>
      </w:r>
      <w:r>
        <w:rPr>
          <w:rFonts w:hint="eastAsia" w:ascii="仿宋" w:hAnsi="仿宋" w:eastAsia="仿宋" w:cs="仿宋"/>
          <w:sz w:val="32"/>
          <w:szCs w:val="32"/>
          <w:lang w:eastAsia="zh-CN"/>
        </w:rPr>
        <w:t>减轻残疾学生入学带给家庭的经济负担，避免了部分残疾学生家庭难以承担学生在校期间生活费用而出现休学、辍学等流失现象，实现了残疾学生全免费入学，确保残疾学生安心学习，健康成长</w:t>
      </w:r>
      <w:r>
        <w:rPr>
          <w:rFonts w:hint="eastAsia" w:ascii="仿宋" w:hAnsi="仿宋" w:eastAsia="仿宋" w:cs="仿宋"/>
          <w:color w:val="000000" w:themeColor="text1"/>
          <w:sz w:val="32"/>
          <w:szCs w:val="32"/>
          <w14:textFill>
            <w14:solidFill>
              <w14:schemeClr w14:val="tx1"/>
            </w14:solidFill>
          </w14:textFill>
        </w:rPr>
        <w:t>。该项目自评分为9</w:t>
      </w:r>
      <w:r>
        <w:rPr>
          <w:rFonts w:hint="eastAsia" w:ascii="仿宋" w:hAnsi="仿宋" w:eastAsia="仿宋" w:cs="仿宋"/>
          <w:color w:val="000000" w:themeColor="text1"/>
          <w:sz w:val="32"/>
          <w:szCs w:val="32"/>
          <w:lang w:val="en-US" w:eastAsia="zh-CN"/>
          <w14:textFill>
            <w14:solidFill>
              <w14:schemeClr w14:val="tx1"/>
            </w14:solidFill>
          </w14:textFill>
        </w:rPr>
        <w:t>5</w:t>
      </w:r>
      <w:r>
        <w:rPr>
          <w:rFonts w:hint="eastAsia" w:ascii="仿宋" w:hAnsi="仿宋" w:eastAsia="仿宋" w:cs="仿宋"/>
          <w:color w:val="000000" w:themeColor="text1"/>
          <w:sz w:val="32"/>
          <w:szCs w:val="32"/>
          <w14:textFill>
            <w14:solidFill>
              <w14:schemeClr w14:val="tx1"/>
            </w14:solidFill>
          </w14:textFill>
        </w:rPr>
        <w:t>分，自评结果为“优”。</w:t>
      </w:r>
    </w:p>
    <w:p>
      <w:pPr>
        <w:numPr>
          <w:ilvl w:val="0"/>
          <w:numId w:val="2"/>
        </w:numPr>
        <w:spacing w:line="560" w:lineRule="exact"/>
        <w:ind w:firstLine="643" w:firstLineChars="200"/>
        <w:rPr>
          <w:rFonts w:hint="eastAsia" w:ascii="黑体" w:hAnsi="黑体" w:eastAsia="黑体"/>
          <w:b/>
          <w:bCs/>
          <w:sz w:val="32"/>
          <w:szCs w:val="29"/>
        </w:rPr>
      </w:pPr>
      <w:r>
        <w:rPr>
          <w:rFonts w:hint="eastAsia" w:ascii="黑体" w:hAnsi="黑体" w:eastAsia="黑体"/>
          <w:b/>
          <w:bCs/>
          <w:sz w:val="32"/>
          <w:szCs w:val="29"/>
        </w:rPr>
        <w:t>绩效评价分析</w:t>
      </w:r>
    </w:p>
    <w:p>
      <w:pPr>
        <w:numPr>
          <w:ilvl w:val="0"/>
          <w:numId w:val="0"/>
        </w:numPr>
        <w:spacing w:line="560" w:lineRule="exact"/>
        <w:ind w:firstLine="640" w:firstLineChars="200"/>
        <w:rPr>
          <w:rFonts w:hint="eastAsia" w:ascii="仿宋" w:hAnsi="仿宋" w:eastAsia="仿宋" w:cs="仿宋"/>
          <w:sz w:val="32"/>
          <w:szCs w:val="29"/>
        </w:rPr>
      </w:pPr>
      <w:r>
        <w:rPr>
          <w:rFonts w:hint="eastAsia" w:ascii="仿宋" w:hAnsi="仿宋" w:eastAsia="仿宋" w:cs="仿宋"/>
          <w:sz w:val="32"/>
          <w:szCs w:val="29"/>
        </w:rPr>
        <w:t>（一）决策（投入）情况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color w:val="4A4A4A"/>
          <w:sz w:val="32"/>
          <w:szCs w:val="32"/>
          <w:shd w:val="clear" w:color="auto" w:fill="FFFFFF"/>
        </w:rPr>
        <w:t>预算下达项目经费后，组织各业务科室根据资金情况结合工作实际，确定项目绩效目标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29"/>
        </w:rPr>
      </w:pPr>
      <w:r>
        <w:rPr>
          <w:rFonts w:hint="eastAsia" w:ascii="仿宋" w:hAnsi="仿宋" w:eastAsia="仿宋" w:cs="仿宋"/>
          <w:sz w:val="32"/>
          <w:szCs w:val="29"/>
        </w:rPr>
        <w:t>（二）过程情况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29"/>
        </w:rPr>
      </w:pPr>
      <w:r>
        <w:rPr>
          <w:rFonts w:hint="eastAsia" w:ascii="仿宋" w:hAnsi="仿宋" w:eastAsia="仿宋" w:cs="仿宋"/>
          <w:color w:val="4A4A4A"/>
          <w:sz w:val="32"/>
          <w:szCs w:val="32"/>
          <w:shd w:val="clear" w:color="auto" w:fill="FFFFFF"/>
        </w:rPr>
        <w:t>项目申报、审批程序符合相关管理规定，项目实施过程中资金收支严格履行相应程序和手续。</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29"/>
        </w:rPr>
      </w:pPr>
      <w:r>
        <w:rPr>
          <w:rFonts w:hint="eastAsia" w:ascii="仿宋" w:hAnsi="仿宋" w:eastAsia="仿宋" w:cs="仿宋"/>
          <w:sz w:val="32"/>
          <w:szCs w:val="29"/>
        </w:rPr>
        <w:t>产出情况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29"/>
        </w:rPr>
      </w:pPr>
      <w:r>
        <w:rPr>
          <w:rFonts w:hint="eastAsia" w:ascii="仿宋" w:hAnsi="仿宋" w:eastAsia="仿宋" w:cs="仿宋"/>
          <w:sz w:val="32"/>
          <w:szCs w:val="29"/>
        </w:rPr>
        <w:t>数量指标：2020年</w:t>
      </w:r>
      <w:r>
        <w:rPr>
          <w:rFonts w:hint="eastAsia" w:ascii="仿宋" w:hAnsi="仿宋" w:eastAsia="仿宋" w:cs="仿宋"/>
          <w:sz w:val="32"/>
          <w:szCs w:val="29"/>
          <w:lang w:eastAsia="zh-CN"/>
        </w:rPr>
        <w:t>补助学生人数≤</w:t>
      </w:r>
      <w:r>
        <w:rPr>
          <w:rFonts w:hint="eastAsia" w:ascii="仿宋" w:hAnsi="仿宋" w:eastAsia="仿宋" w:cs="仿宋"/>
          <w:sz w:val="32"/>
          <w:szCs w:val="29"/>
          <w:lang w:val="en-US" w:eastAsia="zh-CN"/>
        </w:rPr>
        <w:t>120人</w:t>
      </w:r>
      <w:r>
        <w:rPr>
          <w:rFonts w:hint="eastAsia" w:ascii="仿宋" w:hAnsi="仿宋" w:eastAsia="仿宋" w:cs="仿宋"/>
          <w:sz w:val="32"/>
          <w:szCs w:val="29"/>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29"/>
        </w:rPr>
      </w:pPr>
      <w:r>
        <w:rPr>
          <w:rFonts w:hint="eastAsia" w:ascii="仿宋" w:hAnsi="仿宋" w:eastAsia="仿宋" w:cs="仿宋"/>
          <w:sz w:val="32"/>
          <w:szCs w:val="29"/>
        </w:rPr>
        <w:t>质量指标：</w:t>
      </w:r>
      <w:r>
        <w:rPr>
          <w:rFonts w:hint="eastAsia" w:ascii="仿宋" w:hAnsi="仿宋" w:eastAsia="仿宋" w:cs="仿宋"/>
          <w:sz w:val="32"/>
          <w:szCs w:val="29"/>
          <w:lang w:eastAsia="zh-CN"/>
        </w:rPr>
        <w:t>补助资金完成</w:t>
      </w:r>
      <w:r>
        <w:rPr>
          <w:rFonts w:hint="eastAsia" w:ascii="仿宋" w:hAnsi="仿宋" w:eastAsia="仿宋" w:cs="仿宋"/>
          <w:sz w:val="32"/>
          <w:szCs w:val="29"/>
        </w:rPr>
        <w:t>率为100%，本年无误差。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29"/>
        </w:rPr>
        <w:t>时效指标：</w:t>
      </w:r>
      <w:r>
        <w:rPr>
          <w:rFonts w:hint="eastAsia" w:ascii="仿宋" w:hAnsi="仿宋" w:eastAsia="仿宋" w:cs="仿宋"/>
          <w:sz w:val="32"/>
          <w:szCs w:val="32"/>
          <w:lang w:eastAsia="zh-CN"/>
        </w:rPr>
        <w:t>资金及时下达，确保补助资金按时发放到位。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29"/>
        </w:rPr>
      </w:pPr>
      <w:r>
        <w:rPr>
          <w:rFonts w:hint="eastAsia" w:ascii="仿宋" w:hAnsi="仿宋" w:eastAsia="仿宋" w:cs="仿宋"/>
          <w:sz w:val="32"/>
          <w:szCs w:val="29"/>
        </w:rPr>
        <w:t>成本指标：该项目根据2020年度部门预算项目经费批复，为州本级财政安排的</w:t>
      </w:r>
      <w:r>
        <w:rPr>
          <w:rFonts w:hint="eastAsia" w:ascii="仿宋" w:hAnsi="仿宋" w:eastAsia="仿宋" w:cs="仿宋"/>
          <w:sz w:val="32"/>
          <w:szCs w:val="29"/>
          <w:lang w:eastAsia="zh-CN"/>
        </w:rPr>
        <w:t>在校生生活费补助</w:t>
      </w:r>
      <w:r>
        <w:rPr>
          <w:rFonts w:hint="eastAsia" w:ascii="仿宋" w:hAnsi="仿宋" w:eastAsia="仿宋" w:cs="仿宋"/>
          <w:sz w:val="32"/>
          <w:szCs w:val="29"/>
          <w:lang w:val="en-US" w:eastAsia="zh-CN"/>
        </w:rPr>
        <w:t>15.00</w:t>
      </w:r>
      <w:r>
        <w:rPr>
          <w:rFonts w:hint="eastAsia" w:ascii="仿宋" w:hAnsi="仿宋" w:eastAsia="仿宋" w:cs="仿宋"/>
          <w:sz w:val="32"/>
          <w:szCs w:val="29"/>
        </w:rPr>
        <w:t>万元。</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sz w:val="32"/>
          <w:szCs w:val="29"/>
        </w:rPr>
      </w:pPr>
      <w:r>
        <w:rPr>
          <w:rFonts w:hint="eastAsia" w:ascii="仿宋" w:hAnsi="仿宋" w:eastAsia="仿宋" w:cs="仿宋"/>
          <w:sz w:val="32"/>
          <w:szCs w:val="29"/>
        </w:rPr>
        <w:t>效益情况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FF0000"/>
          <w:sz w:val="32"/>
          <w:szCs w:val="29"/>
        </w:rPr>
      </w:pPr>
      <w:r>
        <w:rPr>
          <w:rFonts w:hint="eastAsia" w:ascii="仿宋" w:hAnsi="仿宋" w:eastAsia="仿宋" w:cs="仿宋"/>
          <w:sz w:val="32"/>
          <w:szCs w:val="29"/>
        </w:rPr>
        <w:t>社会效益：该</w:t>
      </w:r>
      <w:r>
        <w:rPr>
          <w:rFonts w:hint="eastAsia" w:ascii="仿宋" w:hAnsi="仿宋" w:eastAsia="仿宋" w:cs="仿宋"/>
          <w:sz w:val="32"/>
          <w:szCs w:val="29"/>
          <w:lang w:eastAsia="zh-CN"/>
        </w:rPr>
        <w:t>项目的落实</w:t>
      </w:r>
      <w:r>
        <w:rPr>
          <w:rFonts w:hint="eastAsia" w:ascii="仿宋" w:hAnsi="仿宋" w:eastAsia="仿宋" w:cs="仿宋"/>
          <w:sz w:val="32"/>
          <w:szCs w:val="29"/>
        </w:rPr>
        <w:t>，</w:t>
      </w:r>
      <w:r>
        <w:rPr>
          <w:rFonts w:hint="eastAsia" w:ascii="仿宋" w:hAnsi="仿宋" w:eastAsia="仿宋" w:cs="仿宋"/>
          <w:sz w:val="32"/>
          <w:szCs w:val="29"/>
          <w:lang w:eastAsia="zh-CN"/>
        </w:rPr>
        <w:t>完成</w:t>
      </w:r>
      <w:r>
        <w:rPr>
          <w:rFonts w:hint="eastAsia" w:ascii="仿宋" w:hAnsi="仿宋" w:eastAsia="仿宋" w:cs="仿宋"/>
          <w:sz w:val="32"/>
          <w:szCs w:val="29"/>
          <w:lang w:val="en-US" w:eastAsia="zh-CN"/>
        </w:rPr>
        <w:t>2020年度控辍保学和劝返复学工作，确保辍学发生率为0</w:t>
      </w:r>
      <w:r>
        <w:rPr>
          <w:rFonts w:hint="eastAsia" w:ascii="仿宋" w:hAnsi="仿宋" w:eastAsia="仿宋" w:cs="仿宋"/>
          <w:sz w:val="32"/>
          <w:szCs w:val="29"/>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FF0000"/>
          <w:sz w:val="32"/>
          <w:szCs w:val="29"/>
        </w:rPr>
      </w:pPr>
      <w:r>
        <w:rPr>
          <w:rFonts w:hint="eastAsia" w:ascii="仿宋" w:hAnsi="仿宋" w:eastAsia="仿宋" w:cs="仿宋"/>
          <w:sz w:val="32"/>
          <w:szCs w:val="32"/>
        </w:rPr>
        <w:t>满意度：受助学生及家庭满意度为95%以上</w:t>
      </w:r>
      <w:r>
        <w:rPr>
          <w:rFonts w:hint="eastAsia" w:ascii="仿宋" w:hAnsi="仿宋" w:eastAsia="仿宋" w:cs="仿宋"/>
          <w:sz w:val="32"/>
          <w:szCs w:val="32"/>
          <w:lang w:eastAsia="zh-CN"/>
        </w:rPr>
        <w:t>。</w:t>
      </w:r>
    </w:p>
    <w:p>
      <w:pPr>
        <w:spacing w:line="560" w:lineRule="exact"/>
        <w:ind w:firstLine="643" w:firstLineChars="200"/>
        <w:rPr>
          <w:rFonts w:ascii="黑体" w:hAnsi="黑体" w:eastAsia="黑体"/>
          <w:b/>
          <w:bCs/>
          <w:sz w:val="32"/>
          <w:szCs w:val="29"/>
        </w:rPr>
      </w:pPr>
      <w:r>
        <w:rPr>
          <w:rFonts w:hint="eastAsia" w:ascii="黑体" w:hAnsi="黑体" w:eastAsia="黑体"/>
          <w:b/>
          <w:bCs/>
          <w:sz w:val="32"/>
          <w:szCs w:val="29"/>
        </w:rPr>
        <w:t>五、主要经验及做法</w:t>
      </w:r>
    </w:p>
    <w:p>
      <w:pPr>
        <w:spacing w:line="560" w:lineRule="exact"/>
        <w:ind w:firstLine="405"/>
        <w:rPr>
          <w:rFonts w:hint="eastAsia" w:ascii="仿宋" w:hAnsi="仿宋" w:eastAsia="仿宋" w:cs="仿宋"/>
          <w:sz w:val="32"/>
          <w:szCs w:val="29"/>
        </w:rPr>
      </w:pPr>
      <w:r>
        <w:rPr>
          <w:rFonts w:hint="eastAsia" w:ascii="仿宋" w:hAnsi="仿宋" w:eastAsia="仿宋" w:cs="仿宋"/>
          <w:sz w:val="32"/>
          <w:szCs w:val="29"/>
        </w:rPr>
        <w:t>（一）主要经验及做法</w:t>
      </w:r>
    </w:p>
    <w:p>
      <w:pPr>
        <w:pStyle w:val="4"/>
        <w:shd w:val="clear" w:color="auto" w:fill="FFFFFF"/>
        <w:spacing w:before="75" w:beforeAutospacing="0" w:after="75" w:afterAutospacing="0"/>
        <w:rPr>
          <w:rFonts w:hint="eastAsia" w:ascii="仿宋" w:hAnsi="仿宋" w:eastAsia="仿宋" w:cs="仿宋"/>
          <w:color w:val="4A4A4A"/>
          <w:sz w:val="32"/>
          <w:szCs w:val="32"/>
        </w:rPr>
      </w:pPr>
      <w:r>
        <w:rPr>
          <w:rFonts w:hint="eastAsia" w:ascii="仿宋" w:hAnsi="仿宋" w:eastAsia="仿宋" w:cs="仿宋"/>
          <w:color w:val="4A4A4A"/>
          <w:sz w:val="32"/>
          <w:szCs w:val="32"/>
        </w:rPr>
        <w:t xml:space="preserve">    一是总结经验、完善管理。积极对此次自查自评工作存在的薄弱环节，进行分析研究，查找原因，及时改进和调整，不断加强监督和管理，迅速提高财政支出管理绩效水平。</w:t>
      </w:r>
    </w:p>
    <w:p>
      <w:pPr>
        <w:pStyle w:val="4"/>
        <w:shd w:val="clear" w:color="auto" w:fill="FFFFFF"/>
        <w:spacing w:before="75" w:beforeAutospacing="0" w:after="75" w:afterAutospacing="0"/>
        <w:rPr>
          <w:rFonts w:hint="eastAsia" w:ascii="仿宋" w:hAnsi="仿宋" w:eastAsia="仿宋" w:cs="仿宋"/>
          <w:color w:val="4A4A4A"/>
          <w:sz w:val="32"/>
          <w:szCs w:val="32"/>
        </w:rPr>
      </w:pPr>
      <w:r>
        <w:rPr>
          <w:rFonts w:hint="eastAsia" w:ascii="仿宋" w:hAnsi="仿宋" w:eastAsia="仿宋" w:cs="仿宋"/>
          <w:color w:val="4A4A4A"/>
          <w:sz w:val="32"/>
          <w:szCs w:val="32"/>
        </w:rPr>
        <w:t xml:space="preserve">    二是完善机制，强化联系。以高度的责任感，进一步健全完善内部工作机制，统筹安排，细化分工，明确职责，把预算绩效管理工作作为部门推进财政资金管理的重要抓手，抓好抓早抓细。同时，要加强与财政部门和科室之间的沟通联系，及时反馈意见与问题，更加有力地推进财政支出绩效评价工作。</w:t>
      </w:r>
    </w:p>
    <w:p>
      <w:pPr>
        <w:pStyle w:val="4"/>
        <w:shd w:val="clear" w:color="auto" w:fill="FFFFFF"/>
        <w:spacing w:before="75" w:beforeAutospacing="0" w:after="75" w:afterAutospacing="0"/>
        <w:rPr>
          <w:rFonts w:hint="eastAsia" w:ascii="仿宋" w:hAnsi="仿宋" w:eastAsia="仿宋" w:cs="仿宋"/>
          <w:color w:val="4A4A4A"/>
          <w:sz w:val="32"/>
          <w:szCs w:val="32"/>
        </w:rPr>
      </w:pPr>
      <w:r>
        <w:rPr>
          <w:rFonts w:hint="eastAsia" w:ascii="仿宋" w:hAnsi="仿宋" w:eastAsia="仿宋" w:cs="仿宋"/>
          <w:color w:val="4A4A4A"/>
          <w:sz w:val="32"/>
          <w:szCs w:val="32"/>
        </w:rPr>
        <w:t>　　三是强化意识，提高效益。进一步强化我校的绩效管理主体责任，牢固树立绩效管理理念，通过强化学习培训，来落实全面实施绩效管理的内涵，提升干部职工对预算绩效管理工作的认识，进一步推进绩效管理工作的有序开展。</w:t>
      </w:r>
    </w:p>
    <w:p>
      <w:pPr>
        <w:spacing w:line="560" w:lineRule="exact"/>
        <w:ind w:firstLine="405"/>
        <w:rPr>
          <w:rFonts w:hint="eastAsia" w:ascii="仿宋" w:hAnsi="仿宋" w:eastAsia="仿宋" w:cs="仿宋"/>
          <w:sz w:val="32"/>
          <w:szCs w:val="29"/>
        </w:rPr>
      </w:pPr>
      <w:r>
        <w:rPr>
          <w:rFonts w:hint="eastAsia" w:ascii="仿宋" w:hAnsi="仿宋" w:eastAsia="仿宋" w:cs="仿宋"/>
          <w:sz w:val="32"/>
          <w:szCs w:val="29"/>
        </w:rPr>
        <w:t>（二）存在的问题及原因分析</w:t>
      </w:r>
    </w:p>
    <w:p>
      <w:pPr>
        <w:pStyle w:val="4"/>
        <w:shd w:val="clear" w:color="auto" w:fill="FFFFFF"/>
        <w:spacing w:before="75" w:beforeAutospacing="0" w:after="75" w:afterAutospacing="0"/>
        <w:rPr>
          <w:rFonts w:hint="eastAsia" w:ascii="仿宋" w:hAnsi="仿宋" w:eastAsia="仿宋" w:cs="仿宋"/>
          <w:color w:val="4A4A4A"/>
          <w:sz w:val="32"/>
          <w:szCs w:val="32"/>
        </w:rPr>
      </w:pPr>
      <w:r>
        <w:rPr>
          <w:rFonts w:hint="eastAsia" w:ascii="仿宋" w:hAnsi="仿宋" w:eastAsia="仿宋" w:cs="仿宋"/>
          <w:color w:val="4A4A4A"/>
          <w:sz w:val="32"/>
          <w:szCs w:val="32"/>
        </w:rPr>
        <w:t xml:space="preserve">    编制的绩效目标不具体，绩效目标未完全细化分解为具体工作任务，部分绩效指标不清晰、可衡量性差。今后，需增强工作可预见性，编制绩效目标时，将全年工作任务细化分解为具体的绩效目标，并尽量采取定量的方式制定清晰、可衡量的绩效指标，提升部门预算编制的前瞻性。</w:t>
      </w:r>
    </w:p>
    <w:p>
      <w:pPr>
        <w:spacing w:line="560" w:lineRule="exact"/>
        <w:ind w:firstLine="405"/>
        <w:rPr>
          <w:rFonts w:ascii="黑体" w:hAnsi="黑体" w:eastAsia="黑体"/>
          <w:b/>
          <w:bCs/>
          <w:sz w:val="32"/>
          <w:szCs w:val="29"/>
        </w:rPr>
      </w:pPr>
      <w:r>
        <w:rPr>
          <w:rFonts w:hint="eastAsia" w:ascii="仿宋_GB2312" w:eastAsia="仿宋_GB2312"/>
          <w:b/>
          <w:bCs/>
          <w:sz w:val="32"/>
          <w:szCs w:val="29"/>
        </w:rPr>
        <w:t xml:space="preserve"> </w:t>
      </w:r>
      <w:r>
        <w:rPr>
          <w:rFonts w:hint="eastAsia" w:ascii="黑体" w:hAnsi="黑体" w:eastAsia="黑体"/>
          <w:b/>
          <w:bCs/>
          <w:sz w:val="32"/>
          <w:szCs w:val="29"/>
        </w:rPr>
        <w:t xml:space="preserve"> 六、针对问题提出的建议和改进措施</w:t>
      </w:r>
    </w:p>
    <w:p>
      <w:pPr>
        <w:spacing w:line="560" w:lineRule="exact"/>
        <w:ind w:firstLine="480" w:firstLineChars="150"/>
        <w:rPr>
          <w:rFonts w:ascii="仿宋" w:hAnsi="仿宋" w:eastAsia="仿宋"/>
          <w:sz w:val="32"/>
          <w:szCs w:val="32"/>
        </w:rPr>
      </w:pPr>
      <w:r>
        <w:rPr>
          <w:rFonts w:hint="eastAsia" w:ascii="仿宋" w:hAnsi="仿宋" w:eastAsia="仿宋"/>
          <w:color w:val="4A4A4A"/>
          <w:sz w:val="32"/>
          <w:szCs w:val="32"/>
          <w:shd w:val="clear" w:color="auto" w:fill="FFFFFF"/>
        </w:rPr>
        <w:t>建议加强预算绩效评价工作的相关学习。</w:t>
      </w:r>
    </w:p>
    <w:p>
      <w:pPr>
        <w:spacing w:line="560" w:lineRule="exact"/>
        <w:ind w:firstLine="405"/>
        <w:rPr>
          <w:rFonts w:ascii="黑体" w:hAnsi="黑体" w:eastAsia="黑体"/>
          <w:b/>
          <w:bCs/>
          <w:sz w:val="32"/>
          <w:szCs w:val="29"/>
        </w:rPr>
      </w:pPr>
      <w:r>
        <w:rPr>
          <w:rFonts w:hint="eastAsia" w:ascii="仿宋_GB2312" w:eastAsia="仿宋_GB2312"/>
          <w:b/>
          <w:bCs/>
          <w:sz w:val="32"/>
          <w:szCs w:val="29"/>
        </w:rPr>
        <w:t xml:space="preserve"> </w:t>
      </w:r>
      <w:r>
        <w:rPr>
          <w:rFonts w:hint="eastAsia" w:ascii="黑体" w:hAnsi="黑体" w:eastAsia="黑体"/>
          <w:b/>
          <w:bCs/>
          <w:sz w:val="32"/>
          <w:szCs w:val="29"/>
        </w:rPr>
        <w:t xml:space="preserve"> 七、绩效评价结果应用建议</w:t>
      </w:r>
    </w:p>
    <w:p>
      <w:pPr>
        <w:ind w:right="-512" w:rightChars="-244"/>
        <w:rPr>
          <w:rFonts w:ascii="仿宋" w:hAnsi="仿宋" w:eastAsia="仿宋"/>
          <w:sz w:val="32"/>
          <w:szCs w:val="29"/>
        </w:rPr>
      </w:pPr>
      <w:r>
        <w:rPr>
          <w:rFonts w:hint="eastAsia" w:ascii="仿宋" w:hAnsi="仿宋" w:eastAsia="仿宋"/>
          <w:sz w:val="32"/>
          <w:szCs w:val="32"/>
        </w:rPr>
        <w:t xml:space="preserve">    </w:t>
      </w:r>
      <w:r>
        <w:rPr>
          <w:rFonts w:hint="eastAsia" w:ascii="仿宋" w:hAnsi="仿宋" w:eastAsia="仿宋"/>
          <w:sz w:val="32"/>
          <w:szCs w:val="29"/>
        </w:rPr>
        <w:t>该项目自评得分9</w:t>
      </w:r>
      <w:r>
        <w:rPr>
          <w:rFonts w:hint="eastAsia" w:ascii="仿宋" w:hAnsi="仿宋" w:eastAsia="仿宋"/>
          <w:sz w:val="32"/>
          <w:szCs w:val="29"/>
          <w:lang w:val="en-US" w:eastAsia="zh-CN"/>
        </w:rPr>
        <w:t>5</w:t>
      </w:r>
      <w:r>
        <w:rPr>
          <w:rFonts w:hint="eastAsia" w:ascii="仿宋" w:hAnsi="仿宋" w:eastAsia="仿宋"/>
          <w:sz w:val="32"/>
          <w:szCs w:val="29"/>
        </w:rPr>
        <w:t>分。2020年</w:t>
      </w:r>
      <w:r>
        <w:rPr>
          <w:rFonts w:hint="eastAsia" w:ascii="仿宋" w:hAnsi="仿宋" w:eastAsia="仿宋"/>
          <w:sz w:val="32"/>
          <w:szCs w:val="29"/>
          <w:lang w:eastAsia="zh-CN"/>
        </w:rPr>
        <w:t>保障残疾学生顺利完成学业</w:t>
      </w:r>
      <w:r>
        <w:rPr>
          <w:rFonts w:hint="eastAsia" w:ascii="仿宋" w:hAnsi="仿宋" w:eastAsia="仿宋"/>
          <w:sz w:val="32"/>
          <w:szCs w:val="29"/>
        </w:rPr>
        <w:t>。</w:t>
      </w:r>
    </w:p>
    <w:p>
      <w:pPr>
        <w:ind w:right="-512" w:rightChars="-244"/>
        <w:rPr>
          <w:rFonts w:ascii="仿宋" w:hAnsi="仿宋" w:eastAsia="仿宋"/>
          <w:sz w:val="32"/>
          <w:szCs w:val="29"/>
        </w:rPr>
      </w:pPr>
      <w:r>
        <w:rPr>
          <w:rFonts w:hint="eastAsia" w:ascii="仿宋" w:hAnsi="仿宋" w:eastAsia="仿宋"/>
          <w:sz w:val="32"/>
          <w:szCs w:val="29"/>
        </w:rPr>
        <w:t xml:space="preserve">    加强项目管理、资金使用、监管等各方面工作，达到预期使用的绩效。项目完成后对绩效自评结果也将主动报送相关部门，接受监督。</w:t>
      </w:r>
    </w:p>
    <w:p>
      <w:pPr>
        <w:spacing w:line="560" w:lineRule="exact"/>
        <w:ind w:firstLine="405"/>
        <w:rPr>
          <w:rFonts w:ascii="黑体" w:hAnsi="黑体" w:eastAsia="黑体"/>
          <w:sz w:val="32"/>
          <w:szCs w:val="29"/>
        </w:rPr>
      </w:pPr>
      <w:r>
        <w:rPr>
          <w:rFonts w:hint="eastAsia" w:ascii="黑体" w:hAnsi="黑体" w:eastAsia="黑体"/>
          <w:sz w:val="32"/>
          <w:szCs w:val="29"/>
        </w:rPr>
        <w:t xml:space="preserve">  </w:t>
      </w:r>
      <w:r>
        <w:rPr>
          <w:rFonts w:hint="eastAsia" w:ascii="黑体" w:hAnsi="黑体" w:eastAsia="黑体"/>
          <w:b/>
          <w:bCs/>
          <w:sz w:val="32"/>
          <w:szCs w:val="29"/>
        </w:rPr>
        <w:t>八、其他需要说明的问题</w:t>
      </w:r>
    </w:p>
    <w:p>
      <w:pPr>
        <w:spacing w:line="560" w:lineRule="exact"/>
        <w:ind w:firstLine="405"/>
        <w:rPr>
          <w:rFonts w:ascii="仿宋" w:hAnsi="仿宋" w:eastAsia="仿宋"/>
          <w:sz w:val="32"/>
          <w:szCs w:val="29"/>
        </w:rPr>
      </w:pPr>
      <w:r>
        <w:rPr>
          <w:rFonts w:hint="eastAsia" w:ascii="黑体" w:hAnsi="黑体" w:eastAsia="黑体"/>
          <w:sz w:val="32"/>
          <w:szCs w:val="29"/>
        </w:rPr>
        <w:t xml:space="preserve">   </w:t>
      </w:r>
      <w:r>
        <w:rPr>
          <w:rFonts w:hint="eastAsia" w:ascii="仿宋" w:hAnsi="仿宋" w:eastAsia="仿宋"/>
          <w:sz w:val="32"/>
          <w:szCs w:val="29"/>
        </w:rPr>
        <w:t xml:space="preserve"> 无</w:t>
      </w:r>
    </w:p>
    <w:p>
      <w:pPr>
        <w:spacing w:line="560" w:lineRule="exact"/>
        <w:ind w:firstLine="405"/>
        <w:rPr>
          <w:rFonts w:ascii="仿宋_GB2312" w:eastAsia="仿宋_GB2312"/>
          <w:sz w:val="32"/>
          <w:szCs w:val="29"/>
        </w:rPr>
      </w:pPr>
      <w:bookmarkStart w:id="0" w:name="_GoBack"/>
    </w:p>
    <w:p>
      <w:pPr>
        <w:spacing w:line="560" w:lineRule="exact"/>
        <w:ind w:firstLine="405"/>
        <w:rPr>
          <w:rFonts w:ascii="仿宋_GB2312" w:eastAsia="仿宋_GB2312"/>
          <w:sz w:val="32"/>
          <w:szCs w:val="29"/>
        </w:rPr>
      </w:pPr>
    </w:p>
    <w:p>
      <w:pPr>
        <w:spacing w:line="560" w:lineRule="exact"/>
        <w:ind w:firstLine="405"/>
        <w:rPr>
          <w:rFonts w:ascii="仿宋_GB2312" w:eastAsia="仿宋_GB2312"/>
          <w:sz w:val="32"/>
          <w:szCs w:val="29"/>
        </w:rPr>
      </w:pPr>
    </w:p>
    <w:p>
      <w:pPr>
        <w:spacing w:line="560" w:lineRule="exact"/>
        <w:ind w:firstLine="405"/>
        <w:rPr>
          <w:rFonts w:ascii="仿宋_GB2312" w:eastAsia="仿宋_GB2312"/>
          <w:sz w:val="32"/>
          <w:szCs w:val="29"/>
        </w:rPr>
      </w:pPr>
    </w:p>
    <w:p>
      <w:pPr>
        <w:spacing w:line="560" w:lineRule="exact"/>
        <w:ind w:firstLine="405"/>
        <w:rPr>
          <w:rFonts w:ascii="仿宋_GB2312" w:eastAsia="仿宋_GB2312"/>
          <w:sz w:val="32"/>
          <w:szCs w:val="29"/>
        </w:rPr>
      </w:pPr>
    </w:p>
    <w:p>
      <w:pPr>
        <w:spacing w:line="560" w:lineRule="exact"/>
        <w:ind w:firstLine="405"/>
        <w:jc w:val="right"/>
        <w:rPr>
          <w:rFonts w:hint="eastAsia" w:ascii="仿宋_GB2312" w:eastAsia="仿宋_GB2312"/>
          <w:sz w:val="32"/>
          <w:szCs w:val="29"/>
          <w:lang w:val="en-US" w:eastAsia="zh-CN"/>
        </w:rPr>
      </w:pPr>
      <w:r>
        <w:rPr>
          <w:rFonts w:hint="eastAsia" w:ascii="仿宋_GB2312" w:eastAsia="仿宋_GB2312"/>
          <w:sz w:val="32"/>
          <w:szCs w:val="29"/>
          <w:lang w:val="en-US" w:eastAsia="zh-CN"/>
        </w:rPr>
        <w:t>黔东南州民族特殊教育高级中学</w:t>
      </w:r>
    </w:p>
    <w:p>
      <w:pPr>
        <w:spacing w:line="560" w:lineRule="exact"/>
        <w:ind w:firstLine="405"/>
        <w:jc w:val="center"/>
        <w:rPr>
          <w:rFonts w:hint="default" w:ascii="仿宋_GB2312" w:eastAsia="仿宋_GB2312"/>
          <w:sz w:val="32"/>
          <w:szCs w:val="29"/>
          <w:lang w:val="en-US" w:eastAsia="zh-CN"/>
        </w:rPr>
      </w:pPr>
      <w:r>
        <w:rPr>
          <w:rFonts w:hint="eastAsia" w:ascii="仿宋_GB2312" w:eastAsia="仿宋_GB2312"/>
          <w:sz w:val="32"/>
          <w:szCs w:val="29"/>
          <w:lang w:val="en-US" w:eastAsia="zh-CN"/>
        </w:rPr>
        <w:t xml:space="preserve">                         2021年4月29日</w:t>
      </w:r>
    </w:p>
    <w:bookmarkEnd w:id="0"/>
    <w:p>
      <w:pPr>
        <w:spacing w:line="560" w:lineRule="exact"/>
        <w:ind w:firstLine="405"/>
        <w:rPr>
          <w:rFonts w:ascii="仿宋_GB2312" w:eastAsia="仿宋_GB2312"/>
          <w:sz w:val="32"/>
          <w:szCs w:val="29"/>
        </w:rPr>
      </w:pPr>
    </w:p>
    <w:sectPr>
      <w:footerReference r:id="rId3" w:type="default"/>
      <w:pgSz w:w="11906" w:h="16838"/>
      <w:pgMar w:top="2098" w:right="1531" w:bottom="1985"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16"/>
        <w:szCs w:val="16"/>
      </w:rPr>
      <w:id w:val="29587993"/>
      <w:docPartObj>
        <w:docPartGallery w:val="autotext"/>
      </w:docPartObj>
    </w:sdtPr>
    <w:sdtEndPr>
      <w:rPr>
        <w:sz w:val="16"/>
        <w:szCs w:val="16"/>
      </w:rPr>
    </w:sdtEndPr>
    <w:sdtContent>
      <w:p>
        <w:pPr>
          <w:pStyle w:val="2"/>
          <w:jc w:val="center"/>
          <w:rPr>
            <w:sz w:val="16"/>
            <w:szCs w:val="16"/>
          </w:rPr>
        </w:pPr>
        <w:r>
          <w:rPr>
            <w:sz w:val="16"/>
            <w:szCs w:val="16"/>
          </w:rPr>
          <w:fldChar w:fldCharType="begin"/>
        </w:r>
        <w:r>
          <w:rPr>
            <w:sz w:val="16"/>
            <w:szCs w:val="16"/>
          </w:rPr>
          <w:instrText xml:space="preserve"> PAGE   \* MERGEFORMAT </w:instrText>
        </w:r>
        <w:r>
          <w:rPr>
            <w:sz w:val="16"/>
            <w:szCs w:val="16"/>
          </w:rPr>
          <w:fldChar w:fldCharType="separate"/>
        </w:r>
        <w:r>
          <w:rPr>
            <w:sz w:val="16"/>
            <w:szCs w:val="16"/>
            <w:lang w:val="zh-CN"/>
          </w:rPr>
          <w:t>6</w:t>
        </w:r>
        <w:r>
          <w:rPr>
            <w:sz w:val="16"/>
            <w:szCs w:val="16"/>
          </w:rPr>
          <w:fldChar w:fldCharType="end"/>
        </w:r>
      </w:p>
    </w:sdtContent>
  </w:sdt>
  <w:p>
    <w:pPr>
      <w:pStyle w:val="2"/>
      <w:rPr>
        <w:sz w:val="16"/>
        <w:szCs w:val="16"/>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C8EB32"/>
    <w:multiLevelType w:val="singleLevel"/>
    <w:tmpl w:val="FAC8EB32"/>
    <w:lvl w:ilvl="0" w:tentative="0">
      <w:start w:val="3"/>
      <w:numFmt w:val="chineseCounting"/>
      <w:suff w:val="nothing"/>
      <w:lvlText w:val="（%1）"/>
      <w:lvlJc w:val="left"/>
      <w:rPr>
        <w:rFonts w:hint="eastAsia"/>
      </w:rPr>
    </w:lvl>
  </w:abstractNum>
  <w:abstractNum w:abstractNumId="1">
    <w:nsid w:val="28852D9F"/>
    <w:multiLevelType w:val="multilevel"/>
    <w:tmpl w:val="28852D9F"/>
    <w:lvl w:ilvl="0" w:tentative="0">
      <w:start w:val="1"/>
      <w:numFmt w:val="japaneseCounting"/>
      <w:lvlText w:val="%1、"/>
      <w:lvlJc w:val="left"/>
      <w:pPr>
        <w:ind w:left="1290" w:hanging="720"/>
      </w:pPr>
      <w:rPr>
        <w:rFonts w:hint="default"/>
      </w:rPr>
    </w:lvl>
    <w:lvl w:ilvl="1" w:tentative="0">
      <w:start w:val="1"/>
      <w:numFmt w:val="lowerLetter"/>
      <w:lvlText w:val="%2)"/>
      <w:lvlJc w:val="left"/>
      <w:pPr>
        <w:ind w:left="1410" w:hanging="420"/>
      </w:pPr>
    </w:lvl>
    <w:lvl w:ilvl="2" w:tentative="0">
      <w:start w:val="1"/>
      <w:numFmt w:val="lowerRoman"/>
      <w:lvlText w:val="%3."/>
      <w:lvlJc w:val="right"/>
      <w:pPr>
        <w:ind w:left="1830" w:hanging="420"/>
      </w:pPr>
    </w:lvl>
    <w:lvl w:ilvl="3" w:tentative="0">
      <w:start w:val="1"/>
      <w:numFmt w:val="decimal"/>
      <w:lvlText w:val="%4."/>
      <w:lvlJc w:val="left"/>
      <w:pPr>
        <w:ind w:left="2250" w:hanging="420"/>
      </w:pPr>
    </w:lvl>
    <w:lvl w:ilvl="4" w:tentative="0">
      <w:start w:val="1"/>
      <w:numFmt w:val="lowerLetter"/>
      <w:lvlText w:val="%5)"/>
      <w:lvlJc w:val="left"/>
      <w:pPr>
        <w:ind w:left="2670" w:hanging="420"/>
      </w:pPr>
    </w:lvl>
    <w:lvl w:ilvl="5" w:tentative="0">
      <w:start w:val="1"/>
      <w:numFmt w:val="lowerRoman"/>
      <w:lvlText w:val="%6."/>
      <w:lvlJc w:val="right"/>
      <w:pPr>
        <w:ind w:left="3090" w:hanging="420"/>
      </w:pPr>
    </w:lvl>
    <w:lvl w:ilvl="6" w:tentative="0">
      <w:start w:val="1"/>
      <w:numFmt w:val="decimal"/>
      <w:lvlText w:val="%7."/>
      <w:lvlJc w:val="left"/>
      <w:pPr>
        <w:ind w:left="3510" w:hanging="420"/>
      </w:pPr>
    </w:lvl>
    <w:lvl w:ilvl="7" w:tentative="0">
      <w:start w:val="1"/>
      <w:numFmt w:val="lowerLetter"/>
      <w:lvlText w:val="%8)"/>
      <w:lvlJc w:val="left"/>
      <w:pPr>
        <w:ind w:left="3930" w:hanging="420"/>
      </w:pPr>
    </w:lvl>
    <w:lvl w:ilvl="8" w:tentative="0">
      <w:start w:val="1"/>
      <w:numFmt w:val="lowerRoman"/>
      <w:lvlText w:val="%9."/>
      <w:lvlJc w:val="right"/>
      <w:pPr>
        <w:ind w:left="4350" w:hanging="420"/>
      </w:pPr>
    </w:lvl>
  </w:abstractNum>
  <w:abstractNum w:abstractNumId="2">
    <w:nsid w:val="5F1230AA"/>
    <w:multiLevelType w:val="singleLevel"/>
    <w:tmpl w:val="5F1230AA"/>
    <w:lvl w:ilvl="0" w:tentative="0">
      <w:start w:val="4"/>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D87"/>
    <w:rsid w:val="000877AE"/>
    <w:rsid w:val="00090D87"/>
    <w:rsid w:val="000B59FF"/>
    <w:rsid w:val="000C3EBD"/>
    <w:rsid w:val="000D3CA3"/>
    <w:rsid w:val="00115916"/>
    <w:rsid w:val="00115EC3"/>
    <w:rsid w:val="00117080"/>
    <w:rsid w:val="001906D6"/>
    <w:rsid w:val="001C257C"/>
    <w:rsid w:val="001E1F1C"/>
    <w:rsid w:val="00235BD6"/>
    <w:rsid w:val="002543CC"/>
    <w:rsid w:val="0027096D"/>
    <w:rsid w:val="002911C6"/>
    <w:rsid w:val="00295AB1"/>
    <w:rsid w:val="002A26E0"/>
    <w:rsid w:val="002B6CAF"/>
    <w:rsid w:val="003719A2"/>
    <w:rsid w:val="00376FFF"/>
    <w:rsid w:val="003A6BE7"/>
    <w:rsid w:val="003F7A32"/>
    <w:rsid w:val="00406A8D"/>
    <w:rsid w:val="00436324"/>
    <w:rsid w:val="00467334"/>
    <w:rsid w:val="00485A7E"/>
    <w:rsid w:val="00543065"/>
    <w:rsid w:val="005616B5"/>
    <w:rsid w:val="0061153E"/>
    <w:rsid w:val="006454AF"/>
    <w:rsid w:val="006636C7"/>
    <w:rsid w:val="006C2411"/>
    <w:rsid w:val="00746975"/>
    <w:rsid w:val="00763CC3"/>
    <w:rsid w:val="00807A32"/>
    <w:rsid w:val="00872FF3"/>
    <w:rsid w:val="008A665B"/>
    <w:rsid w:val="008D2B13"/>
    <w:rsid w:val="008F7322"/>
    <w:rsid w:val="0091770B"/>
    <w:rsid w:val="009F4485"/>
    <w:rsid w:val="00A26CD2"/>
    <w:rsid w:val="00A379F1"/>
    <w:rsid w:val="00A85649"/>
    <w:rsid w:val="00AA6A21"/>
    <w:rsid w:val="00B86A16"/>
    <w:rsid w:val="00BA6E69"/>
    <w:rsid w:val="00C96D43"/>
    <w:rsid w:val="00CC293F"/>
    <w:rsid w:val="00D04737"/>
    <w:rsid w:val="00D274B5"/>
    <w:rsid w:val="00D82126"/>
    <w:rsid w:val="00DA50E2"/>
    <w:rsid w:val="00DA55C9"/>
    <w:rsid w:val="00DB63F4"/>
    <w:rsid w:val="00DB7A39"/>
    <w:rsid w:val="00E66F7D"/>
    <w:rsid w:val="00EA7C2D"/>
    <w:rsid w:val="00ED3AE7"/>
    <w:rsid w:val="00F02338"/>
    <w:rsid w:val="00FA7CC0"/>
    <w:rsid w:val="00FB1EBB"/>
    <w:rsid w:val="00FB4933"/>
    <w:rsid w:val="00FD775E"/>
    <w:rsid w:val="35B275B6"/>
    <w:rsid w:val="5E8700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List Paragraph"/>
    <w:basedOn w:val="1"/>
    <w:qFormat/>
    <w:uiPriority w:val="34"/>
    <w:pPr>
      <w:ind w:firstLine="420" w:firstLineChars="200"/>
    </w:p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437</Words>
  <Characters>2493</Characters>
  <Lines>20</Lines>
  <Paragraphs>5</Paragraphs>
  <TotalTime>1</TotalTime>
  <ScaleCrop>false</ScaleCrop>
  <LinksUpToDate>false</LinksUpToDate>
  <CharactersWithSpaces>2925</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2020-08-04T07:49:00Z</dcterms:created>
  <dc:creator>Administrator</dc:creator>
  <cp:lastModifiedBy>DaG.（≧∇≦）</cp:lastModifiedBy>
  <cp:lastPrinted>2021-04-29T03:45:08Z</cp:lastPrinted>
  <dcterms:modified xsi:type="dcterms:W3CDTF">2021-04-29T06:39:33Z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FAB4443C2EB942BA82F6B56C7F2FE7E0</vt:lpwstr>
  </property>
</Properties>
</file>